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DFA3F">
      <w:pPr>
        <w:keepNext w:val="0"/>
        <w:keepLines w:val="0"/>
        <w:pageBreakBefore w:val="0"/>
        <w:widowControl w:val="0"/>
        <w:kinsoku/>
        <w:wordWrap/>
        <w:overflowPunct/>
        <w:topLinePunct w:val="0"/>
        <w:bidi w:val="0"/>
        <w:snapToGrid/>
        <w:spacing w:line="560" w:lineRule="exact"/>
        <w:ind w:right="0"/>
        <w:jc w:val="both"/>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附件2：</w:t>
      </w:r>
    </w:p>
    <w:p w14:paraId="107CD0B8">
      <w:pPr>
        <w:keepNext w:val="0"/>
        <w:keepLines w:val="0"/>
        <w:pageBreakBefore w:val="0"/>
        <w:widowControl w:val="0"/>
        <w:kinsoku/>
        <w:wordWrap/>
        <w:overflowPunct/>
        <w:topLinePunct w:val="0"/>
        <w:bidi w:val="0"/>
        <w:snapToGrid/>
        <w:spacing w:line="560" w:lineRule="exact"/>
        <w:ind w:right="0"/>
        <w:jc w:val="center"/>
        <w:textAlignment w:val="auto"/>
        <w:rPr>
          <w:rFonts w:hint="eastAsia" w:ascii="宋体" w:hAnsi="宋体" w:eastAsia="宋体" w:cs="宋体"/>
          <w:sz w:val="28"/>
          <w:szCs w:val="28"/>
          <w:lang w:val="en-US" w:eastAsia="zh-CN"/>
        </w:rPr>
      </w:pPr>
      <w:r>
        <w:rPr>
          <w:rFonts w:hint="eastAsia" w:ascii="宋体" w:hAnsi="宋体" w:eastAsia="宋体" w:cs="宋体"/>
          <w:sz w:val="48"/>
          <w:szCs w:val="48"/>
          <w:lang w:val="en-US" w:eastAsia="zh-CN"/>
        </w:rPr>
        <w:t>评分表</w:t>
      </w:r>
    </w:p>
    <w:tbl>
      <w:tblPr>
        <w:tblStyle w:val="2"/>
        <w:tblW w:w="9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1250"/>
        <w:gridCol w:w="7304"/>
      </w:tblGrid>
      <w:tr w14:paraId="756D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290" w:type="dxa"/>
            <w:gridSpan w:val="2"/>
            <w:noWrap w:val="0"/>
            <w:vAlign w:val="center"/>
          </w:tcPr>
          <w:p w14:paraId="32D8FB77">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评审内容</w:t>
            </w:r>
          </w:p>
        </w:tc>
        <w:tc>
          <w:tcPr>
            <w:tcW w:w="7304" w:type="dxa"/>
            <w:noWrap w:val="0"/>
            <w:vAlign w:val="center"/>
          </w:tcPr>
          <w:p w14:paraId="2766BAB7">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u w:val="single"/>
              </w:rPr>
            </w:pPr>
            <w:r>
              <w:rPr>
                <w:rFonts w:hint="eastAsia" w:ascii="宋体" w:hAnsi="宋体" w:eastAsia="宋体" w:cs="宋体"/>
                <w:b w:val="0"/>
                <w:bCs w:val="0"/>
                <w:sz w:val="21"/>
                <w:szCs w:val="21"/>
              </w:rPr>
              <w:t>评审细则</w:t>
            </w:r>
          </w:p>
        </w:tc>
      </w:tr>
      <w:tr w14:paraId="47780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1040" w:type="dxa"/>
            <w:vMerge w:val="restart"/>
            <w:noWrap w:val="0"/>
            <w:vAlign w:val="center"/>
          </w:tcPr>
          <w:p w14:paraId="730DBFC4">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技术商务评分</w:t>
            </w:r>
          </w:p>
          <w:p w14:paraId="4A35F587">
            <w:pPr>
              <w:pStyle w:val="4"/>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rPr>
              <w:t>（</w:t>
            </w:r>
            <w:r>
              <w:rPr>
                <w:rFonts w:hint="eastAsia" w:ascii="宋体" w:hAnsi="宋体" w:eastAsia="宋体" w:cs="宋体"/>
                <w:b w:val="0"/>
                <w:bCs w:val="0"/>
                <w:color w:val="auto"/>
                <w:kern w:val="2"/>
                <w:sz w:val="21"/>
                <w:szCs w:val="21"/>
                <w:lang w:val="en-US" w:eastAsia="zh-CN"/>
              </w:rPr>
              <w:t>50</w:t>
            </w:r>
            <w:r>
              <w:rPr>
                <w:rFonts w:hint="eastAsia" w:ascii="宋体" w:hAnsi="宋体" w:eastAsia="宋体" w:cs="宋体"/>
                <w:b w:val="0"/>
                <w:bCs w:val="0"/>
                <w:color w:val="auto"/>
                <w:kern w:val="2"/>
                <w:sz w:val="21"/>
                <w:szCs w:val="21"/>
              </w:rPr>
              <w:t>%）</w:t>
            </w:r>
          </w:p>
        </w:tc>
        <w:tc>
          <w:tcPr>
            <w:tcW w:w="1250" w:type="dxa"/>
            <w:noWrap w:val="0"/>
            <w:vAlign w:val="center"/>
          </w:tcPr>
          <w:p w14:paraId="5A5E3F75">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产品的技术参数</w:t>
            </w:r>
            <w:r>
              <w:rPr>
                <w:rFonts w:hint="eastAsia" w:ascii="宋体" w:hAnsi="宋体" w:eastAsia="宋体" w:cs="宋体"/>
                <w:b w:val="0"/>
                <w:bCs w:val="0"/>
                <w:sz w:val="21"/>
                <w:szCs w:val="21"/>
                <w:lang w:val="en-US" w:eastAsia="zh-CN"/>
              </w:rPr>
              <w:t>相应情况</w:t>
            </w:r>
          </w:p>
          <w:p w14:paraId="31CD0916">
            <w:pPr>
              <w:keepNext w:val="0"/>
              <w:keepLines w:val="0"/>
              <w:pageBreakBefore w:val="0"/>
              <w:widowControl w:val="0"/>
              <w:kinsoku/>
              <w:wordWrap/>
              <w:overflowPunct/>
              <w:topLinePunct w:val="0"/>
              <w:bidi w:val="0"/>
              <w:snapToGrid/>
              <w:spacing w:line="360" w:lineRule="exact"/>
              <w:ind w:right="0" w:rightChars="0"/>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23</w:t>
            </w:r>
            <w:r>
              <w:rPr>
                <w:rFonts w:hint="eastAsia" w:ascii="宋体" w:hAnsi="宋体" w:eastAsia="宋体" w:cs="宋体"/>
                <w:b w:val="0"/>
                <w:bCs w:val="0"/>
                <w:sz w:val="21"/>
                <w:szCs w:val="21"/>
              </w:rPr>
              <w:t>分）</w:t>
            </w:r>
          </w:p>
        </w:tc>
        <w:tc>
          <w:tcPr>
            <w:tcW w:w="7304" w:type="dxa"/>
            <w:noWrap w:val="0"/>
            <w:vAlign w:val="center"/>
          </w:tcPr>
          <w:p w14:paraId="06C5A891">
            <w:pPr>
              <w:keepNext w:val="0"/>
              <w:keepLines w:val="0"/>
              <w:pageBreakBefore w:val="0"/>
              <w:suppressLineNumbers w:val="0"/>
              <w:kinsoku/>
              <w:wordWrap/>
              <w:overflowPunct/>
              <w:topLinePunct w:val="0"/>
              <w:autoSpaceDE/>
              <w:autoSpaceDN/>
              <w:bidi w:val="0"/>
              <w:snapToGrid/>
              <w:spacing w:before="0" w:beforeAutospacing="0" w:after="0" w:afterAutospacing="0" w:line="360" w:lineRule="auto"/>
              <w:ind w:left="0" w:right="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投标产品的基本功能、技术指标与需求的吻合程度和偏差情况（包括所投标产品的品牌、规格型号、详细配置、主要技术参数、随机软件等）。（</w:t>
            </w:r>
            <w:r>
              <w:rPr>
                <w:rFonts w:hint="eastAsia" w:ascii="宋体" w:hAnsi="宋体" w:eastAsia="宋体" w:cs="宋体"/>
                <w:b w:val="0"/>
                <w:bCs w:val="0"/>
                <w:sz w:val="21"/>
                <w:szCs w:val="21"/>
                <w:lang w:val="en-US" w:eastAsia="zh-CN"/>
              </w:rPr>
              <w:t>20</w:t>
            </w:r>
            <w:r>
              <w:rPr>
                <w:rFonts w:hint="eastAsia" w:ascii="宋体" w:hAnsi="宋体" w:eastAsia="宋体" w:cs="宋体"/>
                <w:b w:val="0"/>
                <w:bCs w:val="0"/>
                <w:sz w:val="21"/>
                <w:szCs w:val="21"/>
              </w:rPr>
              <w:t>分）</w:t>
            </w:r>
          </w:p>
          <w:p w14:paraId="6DF28D20">
            <w:pPr>
              <w:keepNext w:val="0"/>
              <w:keepLines w:val="0"/>
              <w:pageBreakBefore w:val="0"/>
              <w:suppressLineNumbers w:val="0"/>
              <w:kinsoku/>
              <w:wordWrap/>
              <w:overflowPunct/>
              <w:topLinePunct w:val="0"/>
              <w:autoSpaceDE/>
              <w:autoSpaceDN/>
              <w:bidi w:val="0"/>
              <w:snapToGrid/>
              <w:spacing w:before="0" w:beforeAutospacing="0" w:after="0" w:afterAutospacing="0" w:line="360" w:lineRule="auto"/>
              <w:ind w:left="0" w:right="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技术指标完全满足招标文件要求得</w:t>
            </w:r>
            <w:r>
              <w:rPr>
                <w:rFonts w:hint="eastAsia" w:ascii="宋体" w:hAnsi="宋体" w:eastAsia="宋体" w:cs="宋体"/>
                <w:b w:val="0"/>
                <w:bCs w:val="0"/>
                <w:sz w:val="21"/>
                <w:szCs w:val="21"/>
                <w:lang w:val="en-US" w:eastAsia="zh-CN"/>
              </w:rPr>
              <w:t>23分</w:t>
            </w:r>
            <w:r>
              <w:rPr>
                <w:rFonts w:hint="eastAsia" w:ascii="宋体" w:hAnsi="宋体" w:eastAsia="宋体" w:cs="宋体"/>
                <w:b w:val="0"/>
                <w:bCs w:val="0"/>
                <w:sz w:val="21"/>
                <w:szCs w:val="21"/>
              </w:rPr>
              <w:t>。</w:t>
            </w:r>
          </w:p>
          <w:p w14:paraId="2D793ACB">
            <w:pPr>
              <w:keepNext w:val="0"/>
              <w:keepLines w:val="0"/>
              <w:pageBreakBefore w:val="0"/>
              <w:suppressLineNumbers w:val="0"/>
              <w:kinsoku/>
              <w:wordWrap/>
              <w:overflowPunct/>
              <w:topLinePunct w:val="0"/>
              <w:autoSpaceDE/>
              <w:autoSpaceDN/>
              <w:bidi w:val="0"/>
              <w:snapToGrid/>
              <w:spacing w:before="0" w:beforeAutospacing="0" w:after="0" w:afterAutospacing="0" w:line="360" w:lineRule="auto"/>
              <w:ind w:left="0" w:right="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“★”系指实质性要求条款，未响应的作无效标处理。技术指标打“▲”的，</w:t>
            </w:r>
            <w:r>
              <w:rPr>
                <w:rFonts w:hint="eastAsia" w:ascii="宋体" w:hAnsi="宋体" w:eastAsia="宋体" w:cs="宋体"/>
                <w:b w:val="0"/>
                <w:bCs w:val="0"/>
                <w:sz w:val="21"/>
                <w:szCs w:val="21"/>
                <w:lang w:val="en-US" w:eastAsia="zh-CN"/>
              </w:rPr>
              <w:t>共3项，</w:t>
            </w:r>
            <w:r>
              <w:rPr>
                <w:rFonts w:hint="eastAsia" w:ascii="宋体" w:hAnsi="宋体" w:eastAsia="宋体" w:cs="宋体"/>
                <w:b w:val="0"/>
                <w:bCs w:val="0"/>
                <w:sz w:val="21"/>
                <w:szCs w:val="21"/>
              </w:rPr>
              <w:t>每负偏离一项扣</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分，</w:t>
            </w:r>
            <w:r>
              <w:rPr>
                <w:rFonts w:hint="eastAsia" w:ascii="宋体" w:hAnsi="宋体" w:eastAsia="宋体" w:cs="宋体"/>
                <w:b w:val="0"/>
                <w:bCs w:val="0"/>
                <w:sz w:val="21"/>
                <w:szCs w:val="21"/>
                <w:lang w:eastAsia="zh-CN"/>
              </w:rPr>
              <w:t>其他</w:t>
            </w:r>
            <w:r>
              <w:rPr>
                <w:rFonts w:hint="eastAsia" w:ascii="宋体" w:hAnsi="宋体" w:eastAsia="宋体" w:cs="宋体"/>
                <w:b w:val="0"/>
                <w:bCs w:val="0"/>
                <w:sz w:val="21"/>
                <w:szCs w:val="21"/>
              </w:rPr>
              <w:t>技术指标每负偏离一项扣</w:t>
            </w: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分，扣完为止。</w:t>
            </w:r>
            <w:r>
              <w:rPr>
                <w:rFonts w:hint="eastAsia" w:ascii="宋体" w:hAnsi="宋体" w:eastAsia="宋体" w:cs="宋体"/>
                <w:b w:val="0"/>
                <w:bCs w:val="0"/>
                <w:sz w:val="21"/>
                <w:szCs w:val="21"/>
                <w:lang w:val="en-US" w:eastAsia="zh-CN"/>
              </w:rPr>
              <w:t>注：打“▲”</w:t>
            </w:r>
            <w:r>
              <w:rPr>
                <w:rFonts w:hint="eastAsia" w:ascii="宋体" w:hAnsi="宋体" w:eastAsia="宋体" w:cs="宋体"/>
                <w:b w:val="0"/>
                <w:bCs w:val="0"/>
                <w:sz w:val="21"/>
                <w:szCs w:val="21"/>
              </w:rPr>
              <w:t>技术参数如要求提供证明材料</w:t>
            </w:r>
            <w:r>
              <w:rPr>
                <w:rFonts w:hint="eastAsia" w:ascii="宋体" w:hAnsi="宋体" w:eastAsia="宋体" w:cs="宋体"/>
                <w:b w:val="0"/>
                <w:bCs w:val="0"/>
                <w:sz w:val="21"/>
                <w:szCs w:val="21"/>
                <w:lang w:val="en-US" w:eastAsia="zh-CN"/>
              </w:rPr>
              <w:t>的，</w:t>
            </w:r>
            <w:r>
              <w:rPr>
                <w:rFonts w:hint="eastAsia" w:ascii="宋体" w:hAnsi="宋体" w:eastAsia="宋体" w:cs="宋体"/>
                <w:b w:val="0"/>
                <w:bCs w:val="0"/>
                <w:sz w:val="21"/>
                <w:szCs w:val="21"/>
              </w:rPr>
              <w:t>必须提供相应的有效证明材料以证明技术参数及功能的有效性，须提供能够体现证明其有能力满足该指标的相关证明材料加盖公章；证明材料如未附或者所附的证明材料由</w:t>
            </w:r>
            <w:r>
              <w:rPr>
                <w:rFonts w:hint="eastAsia" w:ascii="宋体" w:hAnsi="宋体" w:eastAsia="宋体" w:cs="宋体"/>
                <w:b w:val="0"/>
                <w:bCs w:val="0"/>
                <w:sz w:val="21"/>
                <w:szCs w:val="21"/>
                <w:lang w:val="en-US" w:eastAsia="zh-CN"/>
              </w:rPr>
              <w:t>评审小组</w:t>
            </w:r>
            <w:r>
              <w:rPr>
                <w:rFonts w:hint="eastAsia" w:ascii="宋体" w:hAnsi="宋体" w:eastAsia="宋体" w:cs="宋体"/>
                <w:b w:val="0"/>
                <w:bCs w:val="0"/>
                <w:sz w:val="21"/>
                <w:szCs w:val="21"/>
              </w:rPr>
              <w:t>认为不能佐证技术指标的有效性的，则同样视为负偏离</w:t>
            </w:r>
          </w:p>
        </w:tc>
      </w:tr>
      <w:tr w14:paraId="2C07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040" w:type="dxa"/>
            <w:vMerge w:val="continue"/>
            <w:noWrap w:val="0"/>
            <w:vAlign w:val="center"/>
          </w:tcPr>
          <w:p w14:paraId="4C1BA437">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p>
        </w:tc>
        <w:tc>
          <w:tcPr>
            <w:tcW w:w="1250" w:type="dxa"/>
            <w:noWrap w:val="0"/>
            <w:vAlign w:val="center"/>
          </w:tcPr>
          <w:p w14:paraId="5BDA21C6">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投报文件质量</w:t>
            </w:r>
          </w:p>
          <w:p w14:paraId="757B676C">
            <w:pPr>
              <w:keepNext w:val="0"/>
              <w:keepLines w:val="0"/>
              <w:pageBreakBefore w:val="0"/>
              <w:widowControl w:val="0"/>
              <w:kinsoku/>
              <w:wordWrap/>
              <w:overflowPunct/>
              <w:topLinePunct w:val="0"/>
              <w:bidi w:val="0"/>
              <w:snapToGrid/>
              <w:spacing w:line="360" w:lineRule="exact"/>
              <w:ind w:right="0" w:rightChars="0"/>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分)</w:t>
            </w:r>
          </w:p>
        </w:tc>
        <w:tc>
          <w:tcPr>
            <w:tcW w:w="7304" w:type="dxa"/>
            <w:noWrap w:val="0"/>
            <w:vAlign w:val="center"/>
          </w:tcPr>
          <w:p w14:paraId="6572EF23">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投报文件的装订质量、完整性及对采购文件的理解、响应情况等：</w:t>
            </w:r>
          </w:p>
          <w:p w14:paraId="01CDF3A5">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1、完全满足并优于招标文件要求，得</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分；</w:t>
            </w:r>
          </w:p>
          <w:p w14:paraId="661EAA92">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2、较好满足招标文件要求，得</w:t>
            </w: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分；</w:t>
            </w:r>
          </w:p>
          <w:p w14:paraId="6637F984">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3、基本满足招标文件要求，得</w:t>
            </w:r>
            <w:r>
              <w:rPr>
                <w:rFonts w:hint="eastAsia" w:ascii="宋体" w:hAnsi="宋体" w:eastAsia="宋体" w:cs="宋体"/>
                <w:b w:val="0"/>
                <w:bCs w:val="0"/>
                <w:sz w:val="21"/>
                <w:szCs w:val="21"/>
                <w:lang w:val="en-US" w:eastAsia="zh-CN"/>
              </w:rPr>
              <w:t>0.5</w:t>
            </w:r>
            <w:r>
              <w:rPr>
                <w:rFonts w:hint="eastAsia" w:ascii="宋体" w:hAnsi="宋体" w:eastAsia="宋体" w:cs="宋体"/>
                <w:b w:val="0"/>
                <w:bCs w:val="0"/>
                <w:sz w:val="21"/>
                <w:szCs w:val="21"/>
              </w:rPr>
              <w:t>分；</w:t>
            </w:r>
          </w:p>
          <w:p w14:paraId="0EC00B34">
            <w:pPr>
              <w:keepNext w:val="0"/>
              <w:keepLines w:val="0"/>
              <w:pageBreakBefore w:val="0"/>
              <w:widowControl w:val="0"/>
              <w:kinsoku/>
              <w:wordWrap/>
              <w:overflowPunct/>
              <w:topLinePunct w:val="0"/>
              <w:bidi w:val="0"/>
              <w:snapToGrid/>
              <w:spacing w:line="360" w:lineRule="exact"/>
              <w:ind w:right="0" w:right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rPr>
              <w:t>4、低于招标文件要求，得0分。</w:t>
            </w:r>
          </w:p>
        </w:tc>
      </w:tr>
      <w:tr w14:paraId="254B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40" w:type="dxa"/>
            <w:vMerge w:val="continue"/>
            <w:noWrap w:val="0"/>
            <w:vAlign w:val="center"/>
          </w:tcPr>
          <w:p w14:paraId="553C19CF">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p>
        </w:tc>
        <w:tc>
          <w:tcPr>
            <w:tcW w:w="1250" w:type="dxa"/>
            <w:noWrap w:val="0"/>
            <w:vAlign w:val="center"/>
          </w:tcPr>
          <w:p w14:paraId="0CB4C05F">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销售业绩情况</w:t>
            </w:r>
          </w:p>
          <w:p w14:paraId="7FBA3B32">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rPr>
              <w:t>分）</w:t>
            </w:r>
          </w:p>
        </w:tc>
        <w:tc>
          <w:tcPr>
            <w:tcW w:w="7304" w:type="dxa"/>
            <w:noWrap w:val="0"/>
            <w:vAlign w:val="center"/>
          </w:tcPr>
          <w:p w14:paraId="6F050903">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根据投标人或制造商提供近两年销售同类产品情况、近两年销售合同进行评审：</w:t>
            </w:r>
          </w:p>
          <w:p w14:paraId="3287B906">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每提供1份销售合同等材料，得1.5分，最多3分。</w:t>
            </w:r>
          </w:p>
        </w:tc>
      </w:tr>
      <w:tr w14:paraId="2CB9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40" w:type="dxa"/>
            <w:vMerge w:val="continue"/>
            <w:noWrap w:val="0"/>
            <w:vAlign w:val="center"/>
          </w:tcPr>
          <w:p w14:paraId="68DD523B">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p>
        </w:tc>
        <w:tc>
          <w:tcPr>
            <w:tcW w:w="1250" w:type="dxa"/>
            <w:noWrap w:val="0"/>
            <w:vAlign w:val="center"/>
          </w:tcPr>
          <w:p w14:paraId="33D47C31">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交货期符合要求</w:t>
            </w:r>
          </w:p>
          <w:p w14:paraId="26DAC313">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分）</w:t>
            </w:r>
          </w:p>
        </w:tc>
        <w:tc>
          <w:tcPr>
            <w:tcW w:w="7304" w:type="dxa"/>
            <w:noWrap w:val="0"/>
            <w:vAlign w:val="center"/>
          </w:tcPr>
          <w:p w14:paraId="269DCB25">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书面承诺交货期不超过15个工作日（合同签订后）得2分；承诺超过15个工作日不得分。注：提供交货期承诺书并加盖公章，不提供不得分。</w:t>
            </w:r>
          </w:p>
        </w:tc>
      </w:tr>
      <w:tr w14:paraId="00F1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40" w:type="dxa"/>
            <w:vMerge w:val="continue"/>
            <w:noWrap w:val="0"/>
            <w:vAlign w:val="center"/>
          </w:tcPr>
          <w:p w14:paraId="35EB9BC1">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p>
        </w:tc>
        <w:tc>
          <w:tcPr>
            <w:tcW w:w="1250" w:type="dxa"/>
            <w:noWrap w:val="0"/>
            <w:vAlign w:val="center"/>
          </w:tcPr>
          <w:p w14:paraId="7C1C7280">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安装、调试、培训实施方案</w:t>
            </w:r>
          </w:p>
          <w:p w14:paraId="773DBADE">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5分</w:t>
            </w:r>
            <w:r>
              <w:rPr>
                <w:rFonts w:hint="eastAsia" w:ascii="宋体" w:hAnsi="宋体" w:eastAsia="宋体" w:cs="宋体"/>
                <w:b w:val="0"/>
                <w:bCs w:val="0"/>
                <w:sz w:val="21"/>
                <w:szCs w:val="21"/>
                <w:lang w:eastAsia="zh-CN"/>
              </w:rPr>
              <w:t>）</w:t>
            </w:r>
          </w:p>
        </w:tc>
        <w:tc>
          <w:tcPr>
            <w:tcW w:w="7304" w:type="dxa"/>
            <w:noWrap w:val="0"/>
            <w:vAlign w:val="center"/>
          </w:tcPr>
          <w:p w14:paraId="78F561FF">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根据投标人提供的安装、调试、培训实施方案进行评审：</w:t>
            </w:r>
          </w:p>
          <w:p w14:paraId="425B23E8">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1、</w:t>
            </w:r>
            <w:r>
              <w:rPr>
                <w:rFonts w:hint="eastAsia" w:ascii="宋体" w:hAnsi="宋体" w:eastAsia="宋体" w:cs="宋体"/>
                <w:b w:val="0"/>
                <w:bCs w:val="0"/>
                <w:sz w:val="21"/>
                <w:szCs w:val="21"/>
                <w:highlight w:val="none"/>
              </w:rPr>
              <w:t>投标人提供的方案</w:t>
            </w:r>
            <w:r>
              <w:rPr>
                <w:rFonts w:hint="eastAsia" w:ascii="宋体" w:hAnsi="宋体" w:eastAsia="宋体" w:cs="宋体"/>
                <w:b w:val="0"/>
                <w:bCs w:val="0"/>
                <w:sz w:val="21"/>
                <w:szCs w:val="21"/>
                <w:highlight w:val="none"/>
                <w:lang w:val="en-US" w:eastAsia="zh-CN"/>
              </w:rPr>
              <w:t>完全满足现场检验测试需求，</w:t>
            </w:r>
            <w:r>
              <w:rPr>
                <w:rFonts w:hint="eastAsia" w:ascii="宋体" w:hAnsi="宋体" w:eastAsia="宋体" w:cs="宋体"/>
                <w:b w:val="0"/>
                <w:bCs w:val="0"/>
                <w:sz w:val="21"/>
                <w:szCs w:val="21"/>
                <w:highlight w:val="none"/>
              </w:rPr>
              <w:t>得</w:t>
            </w:r>
            <w:r>
              <w:rPr>
                <w:rFonts w:hint="eastAsia" w:ascii="宋体" w:hAnsi="宋体" w:eastAsia="宋体" w:cs="宋体"/>
                <w:b w:val="0"/>
                <w:bCs w:val="0"/>
                <w:sz w:val="21"/>
                <w:szCs w:val="21"/>
                <w:highlight w:val="none"/>
                <w:lang w:val="en-US" w:eastAsia="zh-CN"/>
              </w:rPr>
              <w:t>5</w:t>
            </w:r>
            <w:r>
              <w:rPr>
                <w:rFonts w:hint="eastAsia" w:ascii="宋体" w:hAnsi="宋体" w:eastAsia="宋体" w:cs="宋体"/>
                <w:b w:val="0"/>
                <w:bCs w:val="0"/>
                <w:sz w:val="21"/>
                <w:szCs w:val="21"/>
                <w:highlight w:val="none"/>
              </w:rPr>
              <w:t>分；</w:t>
            </w:r>
          </w:p>
          <w:p w14:paraId="323386B0">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rPr>
              <w:t>投标人提供的方案</w:t>
            </w:r>
            <w:r>
              <w:rPr>
                <w:rFonts w:hint="eastAsia" w:ascii="宋体" w:hAnsi="宋体" w:eastAsia="宋体" w:cs="宋体"/>
                <w:b w:val="0"/>
                <w:bCs w:val="0"/>
                <w:sz w:val="21"/>
                <w:szCs w:val="21"/>
                <w:highlight w:val="none"/>
                <w:lang w:val="en-US" w:eastAsia="zh-CN"/>
              </w:rPr>
              <w:t>较好满足现场检验测试需求，</w:t>
            </w:r>
            <w:r>
              <w:rPr>
                <w:rFonts w:hint="eastAsia" w:ascii="宋体" w:hAnsi="宋体" w:eastAsia="宋体" w:cs="宋体"/>
                <w:b w:val="0"/>
                <w:bCs w:val="0"/>
                <w:sz w:val="21"/>
                <w:szCs w:val="21"/>
                <w:highlight w:val="none"/>
              </w:rPr>
              <w:t>得</w:t>
            </w: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rPr>
              <w:t>分；</w:t>
            </w:r>
          </w:p>
          <w:p w14:paraId="5B347C62">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rPr>
              <w:t>投标人提供的方案</w:t>
            </w:r>
            <w:r>
              <w:rPr>
                <w:rFonts w:hint="eastAsia" w:ascii="宋体" w:hAnsi="宋体" w:eastAsia="宋体" w:cs="宋体"/>
                <w:b w:val="0"/>
                <w:bCs w:val="0"/>
                <w:sz w:val="21"/>
                <w:szCs w:val="21"/>
                <w:highlight w:val="none"/>
                <w:lang w:val="en-US" w:eastAsia="zh-CN"/>
              </w:rPr>
              <w:t>基本满足现场检验测试需求，</w:t>
            </w:r>
            <w:r>
              <w:rPr>
                <w:rFonts w:hint="eastAsia" w:ascii="宋体" w:hAnsi="宋体" w:eastAsia="宋体" w:cs="宋体"/>
                <w:b w:val="0"/>
                <w:bCs w:val="0"/>
                <w:sz w:val="21"/>
                <w:szCs w:val="21"/>
                <w:highlight w:val="none"/>
              </w:rPr>
              <w:t>得</w:t>
            </w:r>
            <w:r>
              <w:rPr>
                <w:rFonts w:hint="eastAsia" w:ascii="宋体" w:hAnsi="宋体" w:eastAsia="宋体" w:cs="宋体"/>
                <w:b w:val="0"/>
                <w:bCs w:val="0"/>
                <w:sz w:val="21"/>
                <w:szCs w:val="21"/>
                <w:highlight w:val="none"/>
                <w:lang w:val="en-US" w:eastAsia="zh-CN"/>
              </w:rPr>
              <w:t>1</w:t>
            </w:r>
            <w:r>
              <w:rPr>
                <w:rFonts w:hint="eastAsia" w:ascii="宋体" w:hAnsi="宋体" w:eastAsia="宋体" w:cs="宋体"/>
                <w:b w:val="0"/>
                <w:bCs w:val="0"/>
                <w:sz w:val="21"/>
                <w:szCs w:val="21"/>
                <w:highlight w:val="none"/>
              </w:rPr>
              <w:t>分；</w:t>
            </w:r>
          </w:p>
          <w:p w14:paraId="113A7733">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lang w:val="en-US" w:eastAsia="zh-CN"/>
              </w:rPr>
              <w:t>4、</w:t>
            </w:r>
            <w:r>
              <w:rPr>
                <w:rFonts w:hint="eastAsia" w:ascii="宋体" w:hAnsi="宋体" w:eastAsia="宋体" w:cs="宋体"/>
                <w:b w:val="0"/>
                <w:bCs w:val="0"/>
                <w:sz w:val="21"/>
                <w:szCs w:val="21"/>
                <w:highlight w:val="none"/>
              </w:rPr>
              <w:t>投标人没有提供方案，或内容有缺项漏项，</w:t>
            </w:r>
            <w:r>
              <w:rPr>
                <w:rFonts w:hint="eastAsia" w:ascii="宋体" w:hAnsi="宋体" w:eastAsia="宋体" w:cs="宋体"/>
                <w:b w:val="0"/>
                <w:bCs w:val="0"/>
                <w:sz w:val="21"/>
                <w:szCs w:val="21"/>
                <w:highlight w:val="none"/>
                <w:lang w:val="en-US" w:eastAsia="zh-CN"/>
              </w:rPr>
              <w:t>不能满足现场检验测试需求，</w:t>
            </w:r>
            <w:r>
              <w:rPr>
                <w:rFonts w:hint="eastAsia" w:ascii="宋体" w:hAnsi="宋体" w:eastAsia="宋体" w:cs="宋体"/>
                <w:b w:val="0"/>
                <w:bCs w:val="0"/>
                <w:sz w:val="21"/>
                <w:szCs w:val="21"/>
                <w:highlight w:val="none"/>
              </w:rPr>
              <w:t>得0分。</w:t>
            </w:r>
          </w:p>
        </w:tc>
      </w:tr>
      <w:tr w14:paraId="3794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040" w:type="dxa"/>
            <w:vMerge w:val="continue"/>
            <w:noWrap w:val="0"/>
            <w:vAlign w:val="center"/>
          </w:tcPr>
          <w:p w14:paraId="12D8370E">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p>
        </w:tc>
        <w:tc>
          <w:tcPr>
            <w:tcW w:w="1250" w:type="dxa"/>
            <w:vMerge w:val="restart"/>
            <w:noWrap w:val="0"/>
            <w:vAlign w:val="center"/>
          </w:tcPr>
          <w:p w14:paraId="65846781">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售后服务方案</w:t>
            </w:r>
          </w:p>
          <w:p w14:paraId="6EBF81F6">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15分</w:t>
            </w:r>
            <w:r>
              <w:rPr>
                <w:rFonts w:hint="eastAsia" w:ascii="宋体" w:hAnsi="宋体" w:eastAsia="宋体" w:cs="宋体"/>
                <w:b w:val="0"/>
                <w:bCs w:val="0"/>
                <w:sz w:val="21"/>
                <w:szCs w:val="21"/>
                <w:lang w:eastAsia="zh-CN"/>
              </w:rPr>
              <w:t>）</w:t>
            </w:r>
          </w:p>
        </w:tc>
        <w:tc>
          <w:tcPr>
            <w:tcW w:w="7304" w:type="dxa"/>
            <w:noWrap w:val="0"/>
            <w:vAlign w:val="center"/>
          </w:tcPr>
          <w:p w14:paraId="46091AAA">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投标人提供服务响应时间、售后维护机构和人员等情况，售后服务承诺的完整性以及服务承诺落实的保障措施等情况；对该项目提供全程的维修服务和保障。</w:t>
            </w:r>
          </w:p>
          <w:p w14:paraId="7FA8ABA4">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售后服务承诺可行，完整，保障措施全面的，得5分；</w:t>
            </w:r>
          </w:p>
          <w:p w14:paraId="39CC358D">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售后服务承诺较可行，完整，保障措施较全面的，得3分；</w:t>
            </w:r>
          </w:p>
          <w:p w14:paraId="0ABB65D4">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售后服务承诺不够完整，保障措施内容简单的，得1分；</w:t>
            </w:r>
          </w:p>
          <w:p w14:paraId="22179892">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rPr>
            </w:pPr>
            <w:r>
              <w:rPr>
                <w:rFonts w:hint="eastAsia" w:ascii="宋体" w:hAnsi="宋体" w:eastAsia="宋体" w:cs="宋体"/>
                <w:b w:val="0"/>
                <w:bCs w:val="0"/>
                <w:sz w:val="21"/>
                <w:szCs w:val="21"/>
                <w:highlight w:val="none"/>
                <w:lang w:val="en-US" w:eastAsia="zh-CN"/>
              </w:rPr>
              <w:t>完全不满足招标文件要求或未提及的不得分。</w:t>
            </w:r>
          </w:p>
        </w:tc>
      </w:tr>
      <w:tr w14:paraId="7493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040" w:type="dxa"/>
            <w:vMerge w:val="continue"/>
            <w:noWrap w:val="0"/>
            <w:vAlign w:val="center"/>
          </w:tcPr>
          <w:p w14:paraId="6E9D4C78">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rPr>
            </w:pPr>
          </w:p>
        </w:tc>
        <w:tc>
          <w:tcPr>
            <w:tcW w:w="1250" w:type="dxa"/>
            <w:vMerge w:val="continue"/>
            <w:noWrap w:val="0"/>
            <w:vAlign w:val="center"/>
          </w:tcPr>
          <w:p w14:paraId="04BA2B95">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rPr>
            </w:pPr>
          </w:p>
        </w:tc>
        <w:tc>
          <w:tcPr>
            <w:tcW w:w="7304" w:type="dxa"/>
            <w:noWrap w:val="0"/>
            <w:vAlign w:val="center"/>
          </w:tcPr>
          <w:p w14:paraId="0EF217BD">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投标人具有较强的维修服务能力，能提供快速的维护服务响应：</w:t>
            </w:r>
          </w:p>
          <w:p w14:paraId="326FEDED">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1、能够2个小时（含）内到达现场进行维修的，得5分；</w:t>
            </w:r>
          </w:p>
          <w:p w14:paraId="0E2EEE3B">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2、能够4个小时（含）内到达现场进行维修的，得3分；</w:t>
            </w:r>
          </w:p>
          <w:p w14:paraId="4BE65638">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3、能够8个小时（含）内到达现场进行维修的，得1分；</w:t>
            </w:r>
          </w:p>
          <w:p w14:paraId="340D888E">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4、其他不得分。</w:t>
            </w:r>
          </w:p>
          <w:p w14:paraId="3CD97BFC">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（须提供书面加盖公章承诺，中标后7个工作日内提供证明材料，无法提供视为放弃中标资格，并承担相关责任）</w:t>
            </w:r>
          </w:p>
        </w:tc>
      </w:tr>
      <w:tr w14:paraId="2FD2B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040" w:type="dxa"/>
            <w:vMerge w:val="continue"/>
            <w:noWrap w:val="0"/>
            <w:vAlign w:val="center"/>
          </w:tcPr>
          <w:p w14:paraId="0A29C9D5">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p>
        </w:tc>
        <w:tc>
          <w:tcPr>
            <w:tcW w:w="1250" w:type="dxa"/>
            <w:vMerge w:val="continue"/>
            <w:noWrap w:val="0"/>
            <w:vAlign w:val="center"/>
          </w:tcPr>
          <w:p w14:paraId="5A0C57FA">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p>
        </w:tc>
        <w:tc>
          <w:tcPr>
            <w:tcW w:w="7304" w:type="dxa"/>
            <w:noWrap w:val="0"/>
            <w:vAlign w:val="center"/>
          </w:tcPr>
          <w:p w14:paraId="794A6BD4">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1、整机质保4年及以上，得5分；</w:t>
            </w:r>
          </w:p>
          <w:p w14:paraId="2AD9E2CA">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2、整机质保3年，得3分；</w:t>
            </w:r>
          </w:p>
          <w:p w14:paraId="7DBEDCD5">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3、整机质保2年，得1分；</w:t>
            </w:r>
          </w:p>
          <w:p w14:paraId="00166B6D">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4、整机质保期1年，不得分。</w:t>
            </w:r>
          </w:p>
        </w:tc>
      </w:tr>
      <w:tr w14:paraId="303E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290" w:type="dxa"/>
            <w:gridSpan w:val="2"/>
            <w:noWrap w:val="0"/>
            <w:vAlign w:val="center"/>
          </w:tcPr>
          <w:p w14:paraId="07249DD6">
            <w:pPr>
              <w:keepNext w:val="0"/>
              <w:keepLines w:val="0"/>
              <w:pageBreakBefore w:val="0"/>
              <w:widowControl w:val="0"/>
              <w:kinsoku/>
              <w:wordWrap/>
              <w:overflowPunct/>
              <w:topLinePunct w:val="0"/>
              <w:bidi w:val="0"/>
              <w:snapToGrid/>
              <w:spacing w:line="360" w:lineRule="exact"/>
              <w:ind w:right="0"/>
              <w:jc w:val="center"/>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价格评分（</w:t>
            </w:r>
            <w:r>
              <w:rPr>
                <w:rFonts w:hint="eastAsia" w:ascii="宋体" w:hAnsi="宋体" w:eastAsia="宋体" w:cs="宋体"/>
                <w:b w:val="0"/>
                <w:bCs w:val="0"/>
                <w:sz w:val="21"/>
                <w:szCs w:val="21"/>
                <w:highlight w:val="none"/>
                <w:lang w:val="en-US" w:eastAsia="zh-CN"/>
              </w:rPr>
              <w:t xml:space="preserve">50% </w:t>
            </w:r>
            <w:r>
              <w:rPr>
                <w:rFonts w:hint="eastAsia" w:ascii="宋体" w:hAnsi="宋体" w:eastAsia="宋体" w:cs="宋体"/>
                <w:b w:val="0"/>
                <w:bCs w:val="0"/>
                <w:sz w:val="21"/>
                <w:szCs w:val="21"/>
                <w:highlight w:val="none"/>
              </w:rPr>
              <w:t>）</w:t>
            </w:r>
          </w:p>
        </w:tc>
        <w:tc>
          <w:tcPr>
            <w:tcW w:w="7304" w:type="dxa"/>
            <w:noWrap w:val="0"/>
            <w:vAlign w:val="center"/>
          </w:tcPr>
          <w:p w14:paraId="7AA263E1">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rPr>
              <w:t>投报最低价者(单价总和)得分</w:t>
            </w:r>
            <w:r>
              <w:rPr>
                <w:rFonts w:hint="eastAsia" w:ascii="宋体" w:hAnsi="宋体" w:eastAsia="宋体" w:cs="宋体"/>
                <w:b w:val="0"/>
                <w:bCs w:val="0"/>
                <w:sz w:val="21"/>
                <w:szCs w:val="21"/>
                <w:highlight w:val="none"/>
                <w:lang w:val="en-US" w:eastAsia="zh-CN"/>
              </w:rPr>
              <w:t>50</w:t>
            </w:r>
            <w:r>
              <w:rPr>
                <w:rFonts w:hint="eastAsia" w:ascii="宋体" w:hAnsi="宋体" w:eastAsia="宋体" w:cs="宋体"/>
                <w:b w:val="0"/>
                <w:bCs w:val="0"/>
                <w:sz w:val="21"/>
                <w:szCs w:val="21"/>
                <w:highlight w:val="none"/>
              </w:rPr>
              <w:t>分，其余投标者价格分数=[最低价/投标价格]</w:t>
            </w:r>
            <w:r>
              <w:rPr>
                <w:rFonts w:hint="eastAsia" w:ascii="宋体" w:hAnsi="宋体" w:eastAsia="宋体" w:cs="宋体"/>
                <w:b w:val="0"/>
                <w:bCs w:val="0"/>
                <w:sz w:val="21"/>
                <w:szCs w:val="21"/>
                <w:highlight w:val="none"/>
                <w:lang w:val="en-US" w:eastAsia="zh-CN"/>
              </w:rPr>
              <w:t>×50%，</w:t>
            </w:r>
            <w:r>
              <w:rPr>
                <w:rFonts w:hint="eastAsia" w:ascii="宋体" w:hAnsi="宋体" w:eastAsia="宋体" w:cs="宋体"/>
                <w:b w:val="0"/>
                <w:bCs w:val="0"/>
                <w:sz w:val="21"/>
                <w:szCs w:val="21"/>
                <w:highlight w:val="none"/>
              </w:rPr>
              <w:t>计算保留两位小数</w:t>
            </w:r>
            <w:r>
              <w:rPr>
                <w:rFonts w:ascii="宋体" w:hAnsi="宋体" w:eastAsia="宋体" w:cs="宋体"/>
                <w:sz w:val="24"/>
                <w:szCs w:val="24"/>
              </w:rPr>
              <w:t>。</w:t>
            </w:r>
          </w:p>
        </w:tc>
      </w:tr>
      <w:tr w14:paraId="35DC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9594" w:type="dxa"/>
            <w:gridSpan w:val="3"/>
            <w:noWrap w:val="0"/>
            <w:vAlign w:val="center"/>
          </w:tcPr>
          <w:p w14:paraId="3ED4E6F5">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sz w:val="21"/>
                <w:szCs w:val="21"/>
              </w:rPr>
            </w:pPr>
            <w:r>
              <w:rPr>
                <w:rFonts w:hint="eastAsia" w:ascii="宋体" w:hAnsi="宋体" w:eastAsia="宋体" w:cs="宋体"/>
                <w:b w:val="0"/>
                <w:bCs w:val="0"/>
                <w:kern w:val="0"/>
                <w:sz w:val="21"/>
                <w:szCs w:val="21"/>
              </w:rPr>
              <w:t>综合得分</w:t>
            </w:r>
            <w:r>
              <w:rPr>
                <w:rFonts w:hint="eastAsia" w:ascii="宋体" w:hAnsi="宋体" w:eastAsia="宋体" w:cs="宋体"/>
                <w:b w:val="0"/>
                <w:bCs w:val="0"/>
                <w:kern w:val="0"/>
                <w:sz w:val="21"/>
                <w:szCs w:val="21"/>
                <w:lang w:eastAsia="zh-CN"/>
              </w:rPr>
              <w:t>最高者</w:t>
            </w:r>
            <w:r>
              <w:rPr>
                <w:rFonts w:hint="eastAsia" w:ascii="宋体" w:hAnsi="宋体" w:eastAsia="宋体" w:cs="宋体"/>
                <w:b w:val="0"/>
                <w:bCs w:val="0"/>
                <w:kern w:val="0"/>
                <w:sz w:val="21"/>
                <w:szCs w:val="21"/>
              </w:rPr>
              <w:t>推荐成交；得分相同</w:t>
            </w:r>
            <w:r>
              <w:rPr>
                <w:rFonts w:hint="eastAsia" w:ascii="宋体" w:hAnsi="宋体" w:eastAsia="宋体" w:cs="宋体"/>
                <w:b w:val="0"/>
                <w:bCs w:val="0"/>
                <w:kern w:val="0"/>
                <w:sz w:val="21"/>
                <w:szCs w:val="21"/>
                <w:lang w:eastAsia="zh-CN"/>
              </w:rPr>
              <w:t>，取</w:t>
            </w:r>
            <w:r>
              <w:rPr>
                <w:rFonts w:hint="eastAsia" w:ascii="宋体" w:hAnsi="宋体" w:eastAsia="宋体" w:cs="宋体"/>
                <w:b w:val="0"/>
                <w:bCs w:val="0"/>
                <w:kern w:val="0"/>
                <w:sz w:val="21"/>
                <w:szCs w:val="21"/>
              </w:rPr>
              <w:t>报价低；得分</w:t>
            </w:r>
            <w:r>
              <w:rPr>
                <w:rFonts w:hint="eastAsia" w:ascii="宋体" w:hAnsi="宋体" w:eastAsia="宋体" w:cs="宋体"/>
                <w:b w:val="0"/>
                <w:bCs w:val="0"/>
                <w:kern w:val="0"/>
                <w:sz w:val="21"/>
                <w:szCs w:val="21"/>
                <w:lang w:eastAsia="zh-CN"/>
              </w:rPr>
              <w:t>和报价</w:t>
            </w:r>
            <w:r>
              <w:rPr>
                <w:rFonts w:hint="eastAsia" w:ascii="宋体" w:hAnsi="宋体" w:eastAsia="宋体" w:cs="宋体"/>
                <w:b w:val="0"/>
                <w:bCs w:val="0"/>
                <w:kern w:val="0"/>
                <w:sz w:val="21"/>
                <w:szCs w:val="21"/>
              </w:rPr>
              <w:t>均相同</w:t>
            </w:r>
            <w:r>
              <w:rPr>
                <w:rFonts w:hint="eastAsia" w:ascii="宋体" w:hAnsi="宋体" w:eastAsia="宋体" w:cs="宋体"/>
                <w:b w:val="0"/>
                <w:bCs w:val="0"/>
                <w:kern w:val="0"/>
                <w:sz w:val="21"/>
                <w:szCs w:val="21"/>
                <w:lang w:eastAsia="zh-CN"/>
              </w:rPr>
              <w:t>，评审</w:t>
            </w:r>
            <w:r>
              <w:rPr>
                <w:rFonts w:hint="eastAsia" w:ascii="宋体" w:hAnsi="宋体" w:eastAsia="宋体" w:cs="宋体"/>
                <w:b w:val="0"/>
                <w:bCs w:val="0"/>
                <w:kern w:val="0"/>
                <w:sz w:val="21"/>
                <w:szCs w:val="21"/>
              </w:rPr>
              <w:t>小组投票确定。</w:t>
            </w:r>
          </w:p>
        </w:tc>
      </w:tr>
      <w:tr w14:paraId="05D4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9594" w:type="dxa"/>
            <w:gridSpan w:val="3"/>
            <w:noWrap w:val="0"/>
            <w:vAlign w:val="center"/>
          </w:tcPr>
          <w:p w14:paraId="1083826A">
            <w:pPr>
              <w:keepNext w:val="0"/>
              <w:keepLines w:val="0"/>
              <w:pageBreakBefore w:val="0"/>
              <w:widowControl w:val="0"/>
              <w:kinsoku/>
              <w:wordWrap/>
              <w:overflowPunct/>
              <w:topLinePunct w:val="0"/>
              <w:bidi w:val="0"/>
              <w:snapToGrid/>
              <w:spacing w:line="360" w:lineRule="exact"/>
              <w:ind w:right="0"/>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val="en-US" w:eastAsia="zh-CN"/>
              </w:rPr>
              <w:t>评审小组</w:t>
            </w:r>
            <w:r>
              <w:rPr>
                <w:rFonts w:hint="eastAsia" w:ascii="宋体" w:hAnsi="宋体" w:eastAsia="宋体" w:cs="宋体"/>
                <w:b w:val="0"/>
                <w:bCs w:val="0"/>
                <w:kern w:val="0"/>
                <w:sz w:val="21"/>
                <w:szCs w:val="21"/>
              </w:rPr>
              <w:t>认为报价供应商的报价明显低于其他通过符合性审查报价供应商的报价，有可能影响产品质量或者不能诚信履约的，应当要求供应商提供书面说明，必要时提交</w:t>
            </w:r>
            <w:r>
              <w:rPr>
                <w:rFonts w:hint="eastAsia" w:ascii="宋体" w:hAnsi="宋体" w:eastAsia="宋体" w:cs="宋体"/>
                <w:b w:val="0"/>
                <w:bCs w:val="0"/>
                <w:kern w:val="0"/>
                <w:sz w:val="21"/>
                <w:szCs w:val="21"/>
                <w:lang w:eastAsia="zh-CN"/>
              </w:rPr>
              <w:t>相关</w:t>
            </w:r>
            <w:r>
              <w:rPr>
                <w:rFonts w:hint="eastAsia" w:ascii="宋体" w:hAnsi="宋体" w:eastAsia="宋体" w:cs="宋体"/>
                <w:b w:val="0"/>
                <w:bCs w:val="0"/>
                <w:kern w:val="0"/>
                <w:sz w:val="21"/>
                <w:szCs w:val="21"/>
              </w:rPr>
              <w:t>证明材料；报价供应商不能证明其报价合理性的，</w:t>
            </w:r>
            <w:r>
              <w:rPr>
                <w:rFonts w:hint="eastAsia" w:ascii="宋体" w:hAnsi="宋体" w:eastAsia="宋体" w:cs="宋体"/>
                <w:b w:val="0"/>
                <w:bCs w:val="0"/>
                <w:kern w:val="0"/>
                <w:sz w:val="21"/>
                <w:szCs w:val="21"/>
                <w:lang w:val="en-US" w:eastAsia="zh-CN"/>
              </w:rPr>
              <w:t>评审小组</w:t>
            </w:r>
            <w:r>
              <w:rPr>
                <w:rFonts w:hint="eastAsia" w:ascii="宋体" w:hAnsi="宋体" w:eastAsia="宋体" w:cs="宋体"/>
                <w:b w:val="0"/>
                <w:bCs w:val="0"/>
                <w:kern w:val="0"/>
                <w:sz w:val="21"/>
                <w:szCs w:val="21"/>
              </w:rPr>
              <w:t>应当将其作为无效投标处理。</w:t>
            </w:r>
          </w:p>
        </w:tc>
      </w:tr>
    </w:tbl>
    <w:p w14:paraId="2280444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lang w:eastAsia="zh-CN"/>
        </w:rPr>
      </w:pPr>
    </w:p>
    <w:p w14:paraId="3CCE4CD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930191"/>
    <w:rsid w:val="309301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2026-09-20T02:59:00Z</dcterms:created>
  <dc:creator>有声之年</dc:creator>
  <cp:lastModifiedBy>有声之年</cp:lastModifiedBy>
  <dcterms:modified xsi:type="dcterms:W3CDTF">2026-09-20T02:59:44Z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2C3CF2AA9CEC418581B1A1277D5752E0_11</vt:lpwstr>
  </property>
  <property fmtid="{D5CDD505-2E9C-101B-9397-08002B2CF9AE}" pid="4" name="KSOTemplateDocerSaveRecord">
    <vt:lpwstr>eyJoZGlkIjoiMmRlOTI4OGY1NmJlMzBkOTdlMzcyZWY0MGZiZjk4ZTMiLCJ1c2VySWQiOiI0ODQxNTAzIn0=</vt:lpwstr>
  </property>
</Properties>
</file>